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DDC22" w14:textId="77777777" w:rsidR="00EB479F" w:rsidRDefault="00FF2ED3" w:rsidP="00D12803">
      <w:pPr>
        <w:spacing w:line="240" w:lineRule="auto"/>
        <w:ind w:left="284"/>
        <w:rPr>
          <w:b/>
          <w:bCs/>
          <w:sz w:val="20"/>
          <w:szCs w:val="20"/>
        </w:rPr>
      </w:pPr>
      <w:bookmarkStart w:id="0" w:name="_Hlk36301476"/>
      <w:r w:rsidRPr="00E23EC5">
        <w:rPr>
          <w:b/>
          <w:bCs/>
          <w:sz w:val="32"/>
          <w:szCs w:val="32"/>
        </w:rPr>
        <w:t>100%</w:t>
      </w:r>
      <w:r>
        <w:rPr>
          <w:b/>
          <w:bCs/>
          <w:sz w:val="32"/>
          <w:szCs w:val="32"/>
        </w:rPr>
        <w:t>-</w:t>
      </w:r>
      <w:r w:rsidRPr="00E23EC5">
        <w:rPr>
          <w:b/>
          <w:bCs/>
          <w:sz w:val="32"/>
          <w:szCs w:val="32"/>
        </w:rPr>
        <w:t xml:space="preserve">Regeln für Wörter </w:t>
      </w:r>
      <w:r>
        <w:rPr>
          <w:b/>
          <w:bCs/>
          <w:sz w:val="24"/>
          <w:szCs w:val="24"/>
        </w:rPr>
        <w:br/>
      </w:r>
      <w:r w:rsidR="00EB479F" w:rsidRPr="00FF2ED3">
        <w:rPr>
          <w:b/>
          <w:bCs/>
          <w:sz w:val="20"/>
          <w:szCs w:val="20"/>
        </w:rPr>
        <w:t>Diese Regeln treffen in allen Fällen, also hundertprozentig zu. Deshalb helfen sie in besonderer Weise, die</w:t>
      </w:r>
      <w:r w:rsidR="00EB479F">
        <w:rPr>
          <w:b/>
          <w:bCs/>
          <w:sz w:val="20"/>
          <w:szCs w:val="20"/>
        </w:rPr>
        <w:t xml:space="preserve"> </w:t>
      </w:r>
      <w:r w:rsidR="00EB479F" w:rsidRPr="00FF2ED3">
        <w:rPr>
          <w:b/>
          <w:bCs/>
          <w:sz w:val="20"/>
          <w:szCs w:val="20"/>
        </w:rPr>
        <w:t xml:space="preserve">Rechtschreibsicherheit der Schüler zu stabilisieren. Buchstaben zwischen Schrägstrichen geben den gehörten Lautklang wieder. Diese Zusammenstellung wird in einer Kurzversion und in einer ausführlichen Version mit verdeutlichenden Beispielen angeboten. </w:t>
      </w:r>
      <w:r w:rsidR="00EB479F">
        <w:rPr>
          <w:b/>
          <w:bCs/>
          <w:sz w:val="20"/>
          <w:szCs w:val="20"/>
        </w:rPr>
        <w:t xml:space="preserve">Ich rate dazu, die Regeln visuell zu verinnerlichen, d. h. man sieht die Wörter vor seinem geistigen Auge, auf dem inneren Bildschirm, bevor man das Wort schreibt. </w:t>
      </w:r>
    </w:p>
    <w:p w14:paraId="19B94329" w14:textId="7A2D6779" w:rsidR="00FF2ED3" w:rsidRPr="00EB479F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EB479F">
        <w:rPr>
          <w:sz w:val="32"/>
          <w:szCs w:val="32"/>
        </w:rPr>
        <w:t>Wenn am Anfang eines Wortes /</w:t>
      </w:r>
      <w:proofErr w:type="spellStart"/>
      <w:r w:rsidRPr="00EB479F">
        <w:rPr>
          <w:sz w:val="32"/>
          <w:szCs w:val="32"/>
        </w:rPr>
        <w:t>schp</w:t>
      </w:r>
      <w:proofErr w:type="spellEnd"/>
      <w:r w:rsidRPr="00EB479F">
        <w:rPr>
          <w:sz w:val="32"/>
          <w:szCs w:val="32"/>
        </w:rPr>
        <w:t>/ oder /</w:t>
      </w:r>
      <w:proofErr w:type="spellStart"/>
      <w:r w:rsidRPr="00EB479F">
        <w:rPr>
          <w:sz w:val="32"/>
          <w:szCs w:val="32"/>
        </w:rPr>
        <w:t>scht</w:t>
      </w:r>
      <w:proofErr w:type="spellEnd"/>
      <w:r w:rsidRPr="00EB479F">
        <w:rPr>
          <w:sz w:val="32"/>
          <w:szCs w:val="32"/>
        </w:rPr>
        <w:t xml:space="preserve">/ gesprochen wird, schreiben wir immer </w:t>
      </w:r>
      <w:proofErr w:type="spellStart"/>
      <w:r w:rsidRPr="00EB479F">
        <w:rPr>
          <w:b/>
          <w:bCs/>
          <w:sz w:val="32"/>
          <w:szCs w:val="32"/>
        </w:rPr>
        <w:t>sp</w:t>
      </w:r>
      <w:proofErr w:type="spellEnd"/>
      <w:r w:rsidRPr="00EB479F">
        <w:rPr>
          <w:sz w:val="32"/>
          <w:szCs w:val="32"/>
        </w:rPr>
        <w:t xml:space="preserve"> und </w:t>
      </w:r>
      <w:proofErr w:type="spellStart"/>
      <w:r w:rsidRPr="00EB479F">
        <w:rPr>
          <w:b/>
          <w:bCs/>
          <w:sz w:val="32"/>
          <w:szCs w:val="32"/>
        </w:rPr>
        <w:t>st</w:t>
      </w:r>
      <w:r w:rsidRPr="00EB479F">
        <w:rPr>
          <w:sz w:val="32"/>
          <w:szCs w:val="32"/>
        </w:rPr>
        <w:t>.</w:t>
      </w:r>
      <w:proofErr w:type="spellEnd"/>
      <w:r w:rsidRPr="00EB479F">
        <w:rPr>
          <w:sz w:val="32"/>
          <w:szCs w:val="32"/>
        </w:rPr>
        <w:t xml:space="preserve"> </w:t>
      </w:r>
    </w:p>
    <w:p w14:paraId="343050BE" w14:textId="77777777" w:rsidR="00EB479F" w:rsidRDefault="00EB479F" w:rsidP="00EB479F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73524D44" w14:textId="0A352746" w:rsidR="00FF2ED3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>Wenn am Anfang eines Wortes /</w:t>
      </w:r>
      <w:proofErr w:type="spellStart"/>
      <w:r>
        <w:rPr>
          <w:sz w:val="32"/>
          <w:szCs w:val="32"/>
        </w:rPr>
        <w:t>kw</w:t>
      </w:r>
      <w:proofErr w:type="spellEnd"/>
      <w:r>
        <w:rPr>
          <w:sz w:val="32"/>
          <w:szCs w:val="32"/>
        </w:rPr>
        <w:t xml:space="preserve">/ gesprochen wird, schreiben wir immer </w:t>
      </w:r>
      <w:proofErr w:type="spellStart"/>
      <w:r w:rsidRPr="00FF2ED3">
        <w:rPr>
          <w:b/>
          <w:bCs/>
          <w:sz w:val="32"/>
          <w:szCs w:val="32"/>
        </w:rPr>
        <w:t>qu</w:t>
      </w:r>
      <w:proofErr w:type="spellEnd"/>
      <w:r>
        <w:rPr>
          <w:sz w:val="32"/>
          <w:szCs w:val="32"/>
        </w:rPr>
        <w:t xml:space="preserve">. </w:t>
      </w:r>
    </w:p>
    <w:p w14:paraId="6EC35C52" w14:textId="77777777" w:rsidR="00EB479F" w:rsidRDefault="00EB479F" w:rsidP="00EB479F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5E1434C4" w14:textId="760B1CB9" w:rsidR="00D12803" w:rsidRPr="00D12803" w:rsidRDefault="00FF2ED3" w:rsidP="00D1280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Wenn ein /au/ in einem Wort gesprochen wird, schreiben wir immer </w:t>
      </w:r>
      <w:r w:rsidRPr="00FF2ED3">
        <w:rPr>
          <w:b/>
          <w:bCs/>
          <w:sz w:val="32"/>
          <w:szCs w:val="32"/>
        </w:rPr>
        <w:t>au</w:t>
      </w:r>
      <w:r>
        <w:rPr>
          <w:sz w:val="32"/>
          <w:szCs w:val="32"/>
        </w:rPr>
        <w:t>.</w:t>
      </w:r>
      <w:r w:rsidR="00EB479F">
        <w:rPr>
          <w:rStyle w:val="Funotenzeichen"/>
          <w:sz w:val="32"/>
          <w:szCs w:val="32"/>
        </w:rPr>
        <w:footnoteReference w:id="1"/>
      </w:r>
      <w:r>
        <w:rPr>
          <w:sz w:val="32"/>
          <w:szCs w:val="32"/>
        </w:rPr>
        <w:t xml:space="preserve"> </w:t>
      </w:r>
    </w:p>
    <w:p w14:paraId="4858BA9F" w14:textId="77777777" w:rsidR="00D12803" w:rsidRDefault="00D12803" w:rsidP="00D1280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20F4EBEA" w14:textId="2359D54D" w:rsidR="00FF2ED3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>Kleine Wörter</w:t>
      </w:r>
      <w:r w:rsidR="00EE34DD">
        <w:rPr>
          <w:rStyle w:val="Funotenzeichen"/>
          <w:sz w:val="32"/>
          <w:szCs w:val="32"/>
        </w:rPr>
        <w:footnoteReference w:id="2"/>
      </w:r>
      <w:r>
        <w:rPr>
          <w:sz w:val="32"/>
          <w:szCs w:val="32"/>
        </w:rPr>
        <w:t xml:space="preserve"> haben nur einfaches </w:t>
      </w:r>
      <w:r w:rsidRPr="00635FEC">
        <w:rPr>
          <w:b/>
          <w:bCs/>
          <w:sz w:val="32"/>
          <w:szCs w:val="32"/>
        </w:rPr>
        <w:t>r</w:t>
      </w:r>
      <w:r>
        <w:rPr>
          <w:sz w:val="32"/>
          <w:szCs w:val="32"/>
        </w:rPr>
        <w:t xml:space="preserve"> (kein </w:t>
      </w:r>
      <w:proofErr w:type="spellStart"/>
      <w:r>
        <w:rPr>
          <w:sz w:val="32"/>
          <w:szCs w:val="32"/>
        </w:rPr>
        <w:t>rr</w:t>
      </w:r>
      <w:proofErr w:type="spellEnd"/>
      <w:r>
        <w:rPr>
          <w:sz w:val="32"/>
          <w:szCs w:val="32"/>
        </w:rPr>
        <w:t xml:space="preserve">). </w:t>
      </w:r>
    </w:p>
    <w:p w14:paraId="062C5534" w14:textId="77777777" w:rsidR="00EB479F" w:rsidRDefault="00EB479F" w:rsidP="00EB479F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6F0B413A" w14:textId="57B998EB" w:rsidR="00FF2ED3" w:rsidRPr="004124E7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Wer mit h schreibt </w:t>
      </w:r>
      <w:r w:rsidRPr="00BC5816">
        <w:rPr>
          <w:b/>
          <w:bCs/>
          <w:i/>
          <w:iCs/>
          <w:sz w:val="32"/>
          <w:szCs w:val="32"/>
        </w:rPr>
        <w:t>nämlich</w:t>
      </w:r>
      <w:r>
        <w:rPr>
          <w:sz w:val="32"/>
          <w:szCs w:val="32"/>
        </w:rPr>
        <w:t xml:space="preserve">, der </w:t>
      </w:r>
      <w:r w:rsidRPr="004124E7">
        <w:rPr>
          <w:sz w:val="32"/>
          <w:szCs w:val="32"/>
        </w:rPr>
        <w:t xml:space="preserve">ist </w:t>
      </w:r>
      <w:r w:rsidRPr="00BC5816">
        <w:rPr>
          <w:b/>
          <w:bCs/>
          <w:i/>
          <w:iCs/>
          <w:sz w:val="32"/>
          <w:szCs w:val="32"/>
        </w:rPr>
        <w:t>ziemlich</w:t>
      </w:r>
      <w:r w:rsidRPr="004124E7">
        <w:rPr>
          <w:sz w:val="32"/>
          <w:szCs w:val="32"/>
        </w:rPr>
        <w:t xml:space="preserve"> </w:t>
      </w:r>
      <w:r w:rsidRPr="00BC5816">
        <w:rPr>
          <w:b/>
          <w:bCs/>
          <w:i/>
          <w:iCs/>
          <w:sz w:val="32"/>
          <w:szCs w:val="32"/>
        </w:rPr>
        <w:t>dämlich</w:t>
      </w:r>
      <w:r w:rsidRPr="004124E7">
        <w:rPr>
          <w:sz w:val="32"/>
          <w:szCs w:val="32"/>
        </w:rPr>
        <w:t xml:space="preserve">. (ziemlich, nämlich, dämlich – alle ohne h). </w:t>
      </w:r>
    </w:p>
    <w:p w14:paraId="79F314C6" w14:textId="77777777" w:rsidR="00EB479F" w:rsidRDefault="00EB479F" w:rsidP="00EB479F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1DD24A61" w14:textId="6DCD5998" w:rsidR="00FF2ED3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Der Ausdruck </w:t>
      </w:r>
      <w:r w:rsidRPr="00BC5816">
        <w:rPr>
          <w:b/>
          <w:bCs/>
          <w:i/>
          <w:iCs/>
          <w:sz w:val="32"/>
          <w:szCs w:val="32"/>
        </w:rPr>
        <w:t>gar nicht</w:t>
      </w:r>
      <w:r w:rsidRPr="00A4349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wird gar nicht zusammengeschrieben.    </w:t>
      </w:r>
    </w:p>
    <w:p w14:paraId="7E9C630D" w14:textId="77777777" w:rsidR="00D12803" w:rsidRDefault="00D12803" w:rsidP="00D1280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277C2BE7" w14:textId="0EFC42D3" w:rsidR="00FF2ED3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Wenn das Grundverb zusammengeschrieben wird, dann wird der „Infinitiv mit zu“ auch zusammengeschrieben. </w:t>
      </w:r>
    </w:p>
    <w:p w14:paraId="406FDBE9" w14:textId="77777777" w:rsidR="00D12803" w:rsidRDefault="00D12803" w:rsidP="00D1280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61AD0D64" w14:textId="427C9513" w:rsidR="00FF2ED3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>Nach doppeltem Vokal und nach zwei Vokale stehen nie ein doppelter Konsonant.</w:t>
      </w:r>
    </w:p>
    <w:p w14:paraId="21B22923" w14:textId="77777777" w:rsidR="00D12803" w:rsidRDefault="00D12803" w:rsidP="00D1280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46E79250" w14:textId="1E54439A" w:rsidR="00FF2ED3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1A0C83">
        <w:rPr>
          <w:sz w:val="32"/>
          <w:szCs w:val="32"/>
        </w:rPr>
        <w:t xml:space="preserve">Nach langen Vokalen und Doppelvokalen steht nur </w:t>
      </w:r>
      <w:r w:rsidRPr="00635FEC">
        <w:rPr>
          <w:b/>
          <w:bCs/>
          <w:sz w:val="32"/>
          <w:szCs w:val="32"/>
        </w:rPr>
        <w:t xml:space="preserve">k </w:t>
      </w:r>
      <w:r w:rsidRPr="001A0C83">
        <w:rPr>
          <w:sz w:val="32"/>
          <w:szCs w:val="32"/>
        </w:rPr>
        <w:t xml:space="preserve">und </w:t>
      </w:r>
      <w:r w:rsidRPr="00635FEC">
        <w:rPr>
          <w:b/>
          <w:bCs/>
          <w:sz w:val="32"/>
          <w:szCs w:val="32"/>
        </w:rPr>
        <w:t>z</w:t>
      </w:r>
      <w:r w:rsidR="00EB479F" w:rsidRPr="00EB479F">
        <w:rPr>
          <w:sz w:val="32"/>
          <w:szCs w:val="32"/>
        </w:rPr>
        <w:t>.</w:t>
      </w:r>
      <w:r w:rsidR="00EB479F">
        <w:rPr>
          <w:sz w:val="32"/>
          <w:szCs w:val="32"/>
        </w:rPr>
        <w:br/>
      </w:r>
      <w:r w:rsidRPr="001A0C83">
        <w:rPr>
          <w:sz w:val="32"/>
          <w:szCs w:val="32"/>
        </w:rPr>
        <w:t>(</w:t>
      </w:r>
      <w:r w:rsidR="00EB479F">
        <w:rPr>
          <w:sz w:val="32"/>
          <w:szCs w:val="32"/>
        </w:rPr>
        <w:t xml:space="preserve">nie </w:t>
      </w:r>
      <w:proofErr w:type="spellStart"/>
      <w:r w:rsidRPr="001A0C83">
        <w:rPr>
          <w:sz w:val="32"/>
          <w:szCs w:val="32"/>
        </w:rPr>
        <w:t>ck</w:t>
      </w:r>
      <w:proofErr w:type="spellEnd"/>
      <w:r w:rsidRPr="001A0C83">
        <w:rPr>
          <w:sz w:val="32"/>
          <w:szCs w:val="32"/>
        </w:rPr>
        <w:t xml:space="preserve"> und </w:t>
      </w:r>
      <w:proofErr w:type="spellStart"/>
      <w:r w:rsidRPr="001A0C83">
        <w:rPr>
          <w:sz w:val="32"/>
          <w:szCs w:val="32"/>
        </w:rPr>
        <w:t>tz</w:t>
      </w:r>
      <w:proofErr w:type="spellEnd"/>
      <w:r w:rsidRPr="001A0C83">
        <w:rPr>
          <w:sz w:val="32"/>
          <w:szCs w:val="32"/>
        </w:rPr>
        <w:t>).</w:t>
      </w:r>
    </w:p>
    <w:p w14:paraId="330D5209" w14:textId="77777777" w:rsidR="00D12803" w:rsidRDefault="00D12803" w:rsidP="00D1280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3CE4F0DD" w14:textId="4AE0F46A" w:rsidR="00FF2ED3" w:rsidRDefault="00FF2ED3" w:rsidP="00EB479F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Nach </w:t>
      </w:r>
      <w:r w:rsidRPr="001A0C83">
        <w:rPr>
          <w:i/>
          <w:iCs/>
          <w:sz w:val="32"/>
          <w:szCs w:val="32"/>
        </w:rPr>
        <w:t>l, n, r,</w:t>
      </w:r>
      <w:r w:rsidRPr="001A0C83">
        <w:rPr>
          <w:sz w:val="32"/>
          <w:szCs w:val="32"/>
        </w:rPr>
        <w:t xml:space="preserve"> das merk dir ja, steht stets nur </w:t>
      </w:r>
      <w:r w:rsidRPr="00635FEC">
        <w:rPr>
          <w:b/>
          <w:bCs/>
          <w:sz w:val="32"/>
          <w:szCs w:val="32"/>
        </w:rPr>
        <w:t xml:space="preserve">k </w:t>
      </w:r>
      <w:r w:rsidRPr="001A0C83">
        <w:rPr>
          <w:sz w:val="32"/>
          <w:szCs w:val="32"/>
        </w:rPr>
        <w:t xml:space="preserve">und </w:t>
      </w:r>
      <w:r w:rsidRPr="00635FEC">
        <w:rPr>
          <w:b/>
          <w:bCs/>
          <w:sz w:val="32"/>
          <w:szCs w:val="32"/>
        </w:rPr>
        <w:t>z</w:t>
      </w:r>
      <w:r w:rsidR="00EB479F">
        <w:rPr>
          <w:sz w:val="32"/>
          <w:szCs w:val="32"/>
        </w:rPr>
        <w:t>.</w:t>
      </w:r>
      <w:r w:rsidR="00EB479F">
        <w:rPr>
          <w:sz w:val="32"/>
          <w:szCs w:val="32"/>
        </w:rPr>
        <w:br/>
      </w:r>
      <w:r w:rsidRPr="001A0C83">
        <w:rPr>
          <w:sz w:val="32"/>
          <w:szCs w:val="32"/>
        </w:rPr>
        <w:t>(</w:t>
      </w:r>
      <w:r w:rsidR="00EB479F">
        <w:rPr>
          <w:sz w:val="32"/>
          <w:szCs w:val="32"/>
        </w:rPr>
        <w:t>nie</w:t>
      </w:r>
      <w:r w:rsidRPr="001A0C83">
        <w:rPr>
          <w:sz w:val="32"/>
          <w:szCs w:val="32"/>
        </w:rPr>
        <w:t xml:space="preserve"> </w:t>
      </w:r>
      <w:proofErr w:type="spellStart"/>
      <w:r w:rsidRPr="001A0C83">
        <w:rPr>
          <w:sz w:val="32"/>
          <w:szCs w:val="32"/>
        </w:rPr>
        <w:t>ck</w:t>
      </w:r>
      <w:proofErr w:type="spellEnd"/>
      <w:r w:rsidRPr="001A0C83">
        <w:rPr>
          <w:sz w:val="32"/>
          <w:szCs w:val="32"/>
        </w:rPr>
        <w:t xml:space="preserve"> oder </w:t>
      </w:r>
      <w:proofErr w:type="spellStart"/>
      <w:r w:rsidRPr="001A0C83">
        <w:rPr>
          <w:sz w:val="32"/>
          <w:szCs w:val="32"/>
        </w:rPr>
        <w:t>tz</w:t>
      </w:r>
      <w:proofErr w:type="spellEnd"/>
      <w:r w:rsidRPr="001A0C83">
        <w:rPr>
          <w:sz w:val="32"/>
          <w:szCs w:val="32"/>
        </w:rPr>
        <w:t>).</w:t>
      </w:r>
      <w:r w:rsidRPr="001D15E3">
        <w:rPr>
          <w:sz w:val="32"/>
          <w:szCs w:val="32"/>
        </w:rPr>
        <w:t xml:space="preserve"> </w:t>
      </w:r>
    </w:p>
    <w:p w14:paraId="2454E6A3" w14:textId="77777777" w:rsidR="00D12803" w:rsidRDefault="00D12803" w:rsidP="00D1280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1F070C50" w14:textId="603F59A8" w:rsidR="00D12803" w:rsidRPr="00D12803" w:rsidRDefault="00FF2ED3" w:rsidP="00D1280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D12803">
        <w:rPr>
          <w:sz w:val="32"/>
          <w:szCs w:val="32"/>
        </w:rPr>
        <w:t xml:space="preserve">Wenn das Wort </w:t>
      </w:r>
      <w:proofErr w:type="gramStart"/>
      <w:r w:rsidRPr="00D12803">
        <w:rPr>
          <w:b/>
          <w:bCs/>
          <w:i/>
          <w:iCs/>
          <w:sz w:val="32"/>
          <w:szCs w:val="32"/>
        </w:rPr>
        <w:t>wider</w:t>
      </w:r>
      <w:proofErr w:type="gramEnd"/>
      <w:r w:rsidRPr="00D12803">
        <w:rPr>
          <w:sz w:val="32"/>
          <w:szCs w:val="32"/>
        </w:rPr>
        <w:t xml:space="preserve"> im Sinne von ‚gegen‘ oder ‚es kommt etwas entgegen‘ gebraucht wird, dann wird es nur mit einem einfachen ‚i‘ geschrieben. </w:t>
      </w:r>
    </w:p>
    <w:p w14:paraId="5CC40F9E" w14:textId="77777777" w:rsidR="00D12803" w:rsidRDefault="00D12803" w:rsidP="00D1280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2C2B6370" w14:textId="66BBFA64" w:rsidR="00D12803" w:rsidRPr="00D12803" w:rsidRDefault="00FF2ED3" w:rsidP="00D1280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D12803">
        <w:rPr>
          <w:sz w:val="32"/>
          <w:szCs w:val="32"/>
        </w:rPr>
        <w:t xml:space="preserve">Die Vorsilbe </w:t>
      </w:r>
      <w:proofErr w:type="spellStart"/>
      <w:r w:rsidRPr="00D12803">
        <w:rPr>
          <w:b/>
          <w:bCs/>
          <w:i/>
          <w:iCs/>
          <w:sz w:val="32"/>
          <w:szCs w:val="32"/>
        </w:rPr>
        <w:t>ent</w:t>
      </w:r>
      <w:proofErr w:type="spellEnd"/>
      <w:r w:rsidRPr="00D12803">
        <w:rPr>
          <w:b/>
          <w:bCs/>
          <w:i/>
          <w:iCs/>
          <w:sz w:val="32"/>
          <w:szCs w:val="32"/>
        </w:rPr>
        <w:t>-</w:t>
      </w:r>
      <w:r w:rsidRPr="00D12803">
        <w:rPr>
          <w:sz w:val="32"/>
          <w:szCs w:val="32"/>
        </w:rPr>
        <w:t xml:space="preserve"> wird immer mit </w:t>
      </w:r>
      <w:r w:rsidRPr="00D12803">
        <w:rPr>
          <w:b/>
          <w:bCs/>
          <w:sz w:val="32"/>
          <w:szCs w:val="32"/>
        </w:rPr>
        <w:t>t</w:t>
      </w:r>
      <w:r w:rsidRPr="00D12803">
        <w:rPr>
          <w:i/>
          <w:iCs/>
          <w:sz w:val="32"/>
          <w:szCs w:val="32"/>
        </w:rPr>
        <w:t xml:space="preserve"> </w:t>
      </w:r>
      <w:r w:rsidRPr="00D12803">
        <w:rPr>
          <w:sz w:val="32"/>
          <w:szCs w:val="32"/>
        </w:rPr>
        <w:t>geschrieben, es sei denn, das Wort ist eine Zusammensetzung mit dem Wort Ende.</w:t>
      </w:r>
      <w:r w:rsidR="00D12803">
        <w:rPr>
          <w:rStyle w:val="Funotenzeichen"/>
          <w:sz w:val="32"/>
          <w:szCs w:val="32"/>
        </w:rPr>
        <w:footnoteReference w:id="3"/>
      </w:r>
      <w:r w:rsidRPr="00D12803">
        <w:rPr>
          <w:sz w:val="32"/>
          <w:szCs w:val="32"/>
        </w:rPr>
        <w:t xml:space="preserve"> </w:t>
      </w:r>
      <w:r w:rsidRPr="00D12803">
        <w:rPr>
          <w:sz w:val="32"/>
          <w:szCs w:val="32"/>
        </w:rPr>
        <w:br/>
        <w:t xml:space="preserve">Wichtig zu wissen: Es gibt aber nur eine Handvoll Wörter, die mit der Vorsilbe end- gebaut und kleingeschrieben werden: endgültig, endlich, endlos – das war es. </w:t>
      </w:r>
      <w:r w:rsidR="00D12803">
        <w:rPr>
          <w:sz w:val="32"/>
          <w:szCs w:val="32"/>
        </w:rPr>
        <w:br/>
      </w:r>
      <w:bookmarkStart w:id="1" w:name="_GoBack"/>
      <w:bookmarkEnd w:id="1"/>
    </w:p>
    <w:p w14:paraId="1213A35B" w14:textId="00C73A0C" w:rsidR="0081208F" w:rsidRDefault="0081208F" w:rsidP="00D1280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E000D4">
        <w:rPr>
          <w:sz w:val="32"/>
          <w:szCs w:val="32"/>
        </w:rPr>
        <w:t xml:space="preserve">Die Endung der Verben, die Fremdwörter sind, wird immer mit </w:t>
      </w:r>
      <w:proofErr w:type="spellStart"/>
      <w:r w:rsidRPr="001F1DBF">
        <w:rPr>
          <w:b/>
          <w:bCs/>
          <w:sz w:val="32"/>
          <w:szCs w:val="32"/>
        </w:rPr>
        <w:t>ie</w:t>
      </w:r>
      <w:proofErr w:type="spellEnd"/>
      <w:r w:rsidRPr="00E000D4">
        <w:rPr>
          <w:sz w:val="32"/>
          <w:szCs w:val="32"/>
        </w:rPr>
        <w:t xml:space="preserve"> geschrieben: -</w:t>
      </w:r>
      <w:proofErr w:type="spellStart"/>
      <w:r w:rsidRPr="00E000D4">
        <w:rPr>
          <w:sz w:val="32"/>
          <w:szCs w:val="32"/>
        </w:rPr>
        <w:t>ieren</w:t>
      </w:r>
      <w:proofErr w:type="spellEnd"/>
      <w:r w:rsidRPr="00E000D4">
        <w:rPr>
          <w:sz w:val="32"/>
          <w:szCs w:val="32"/>
        </w:rPr>
        <w:t>, -</w:t>
      </w:r>
      <w:proofErr w:type="spellStart"/>
      <w:r w:rsidRPr="00E000D4">
        <w:rPr>
          <w:sz w:val="32"/>
          <w:szCs w:val="32"/>
        </w:rPr>
        <w:t>iere</w:t>
      </w:r>
      <w:proofErr w:type="spellEnd"/>
      <w:r w:rsidRPr="00E000D4">
        <w:rPr>
          <w:sz w:val="32"/>
          <w:szCs w:val="32"/>
        </w:rPr>
        <w:t>, -</w:t>
      </w:r>
      <w:proofErr w:type="spellStart"/>
      <w:r w:rsidRPr="00E000D4">
        <w:rPr>
          <w:sz w:val="32"/>
          <w:szCs w:val="32"/>
        </w:rPr>
        <w:t>ierst</w:t>
      </w:r>
      <w:proofErr w:type="spellEnd"/>
      <w:r w:rsidRPr="00E000D4">
        <w:rPr>
          <w:sz w:val="32"/>
          <w:szCs w:val="32"/>
        </w:rPr>
        <w:t>, -</w:t>
      </w:r>
      <w:proofErr w:type="spellStart"/>
      <w:r w:rsidRPr="00E000D4">
        <w:rPr>
          <w:sz w:val="32"/>
          <w:szCs w:val="32"/>
        </w:rPr>
        <w:t>iert</w:t>
      </w:r>
      <w:proofErr w:type="spellEnd"/>
      <w:r w:rsidRPr="00E000D4">
        <w:rPr>
          <w:sz w:val="32"/>
          <w:szCs w:val="32"/>
        </w:rPr>
        <w:t>.</w:t>
      </w:r>
      <w:r w:rsidR="004A7C71">
        <w:rPr>
          <w:sz w:val="32"/>
          <w:szCs w:val="32"/>
        </w:rPr>
        <w:t xml:space="preserve"> Die Endung -</w:t>
      </w:r>
      <w:proofErr w:type="spellStart"/>
      <w:r w:rsidR="004A7C71">
        <w:rPr>
          <w:sz w:val="32"/>
          <w:szCs w:val="32"/>
        </w:rPr>
        <w:t>ieren</w:t>
      </w:r>
      <w:proofErr w:type="spellEnd"/>
      <w:r w:rsidR="004A7C71">
        <w:rPr>
          <w:sz w:val="32"/>
          <w:szCs w:val="32"/>
        </w:rPr>
        <w:t xml:space="preserve"> hat fünf Buchstaben.</w:t>
      </w:r>
      <w:bookmarkEnd w:id="0"/>
    </w:p>
    <w:sectPr w:rsidR="0081208F" w:rsidSect="00D12803">
      <w:footerReference w:type="default" r:id="rId8"/>
      <w:pgSz w:w="11906" w:h="16838"/>
      <w:pgMar w:top="1135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6CE8C" w14:textId="77777777" w:rsidR="00F77B1B" w:rsidRDefault="00F77B1B" w:rsidP="00FF2ED3">
      <w:pPr>
        <w:spacing w:after="0" w:line="240" w:lineRule="auto"/>
      </w:pPr>
      <w:r>
        <w:separator/>
      </w:r>
    </w:p>
  </w:endnote>
  <w:endnote w:type="continuationSeparator" w:id="0">
    <w:p w14:paraId="095814BE" w14:textId="77777777" w:rsidR="00F77B1B" w:rsidRDefault="00F77B1B" w:rsidP="00FF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46D02" w14:textId="7CFF4EE0" w:rsidR="00FF2ED3" w:rsidRPr="00FF2ED3" w:rsidRDefault="00FF2ED3">
    <w:pPr>
      <w:pStyle w:val="Fuzeile"/>
    </w:pPr>
    <w:r w:rsidRPr="00FF2ED3">
      <w:t xml:space="preserve">Ulla Kloß </w:t>
    </w:r>
    <w:r w:rsidRPr="00FF2ED3">
      <w:tab/>
    </w:r>
    <w:hyperlink r:id="rId1" w:history="1">
      <w:r w:rsidRPr="00FF2ED3">
        <w:rPr>
          <w:rStyle w:val="Hyperlink"/>
        </w:rPr>
        <w:t>www.ulla-kloss.de</w:t>
      </w:r>
    </w:hyperlink>
    <w:r w:rsidRPr="00FF2ED3">
      <w:t xml:space="preserve"> </w:t>
    </w:r>
    <w:r w:rsidRPr="00FF2ED3">
      <w:tab/>
      <w:t>#</w:t>
    </w:r>
    <w:r>
      <w:t>R</w:t>
    </w:r>
    <w:r w:rsidRPr="00FF2ED3">
      <w:t>echt</w:t>
    </w:r>
    <w:r>
      <w:t>schreiben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285EC" w14:textId="77777777" w:rsidR="00F77B1B" w:rsidRDefault="00F77B1B" w:rsidP="00FF2ED3">
      <w:pPr>
        <w:spacing w:after="0" w:line="240" w:lineRule="auto"/>
      </w:pPr>
      <w:r>
        <w:separator/>
      </w:r>
    </w:p>
  </w:footnote>
  <w:footnote w:type="continuationSeparator" w:id="0">
    <w:p w14:paraId="13998877" w14:textId="77777777" w:rsidR="00F77B1B" w:rsidRDefault="00F77B1B" w:rsidP="00FF2ED3">
      <w:pPr>
        <w:spacing w:after="0" w:line="240" w:lineRule="auto"/>
      </w:pPr>
      <w:r>
        <w:continuationSeparator/>
      </w:r>
    </w:p>
  </w:footnote>
  <w:footnote w:id="1">
    <w:p w14:paraId="257EBCDE" w14:textId="3375D371" w:rsidR="00EB479F" w:rsidRPr="00D12803" w:rsidRDefault="00EB479F">
      <w:pPr>
        <w:pStyle w:val="Funotentext"/>
        <w:rPr>
          <w:sz w:val="16"/>
          <w:szCs w:val="16"/>
        </w:rPr>
      </w:pPr>
      <w:r w:rsidRPr="00D12803">
        <w:rPr>
          <w:rStyle w:val="Funotenzeichen"/>
          <w:sz w:val="16"/>
          <w:szCs w:val="16"/>
        </w:rPr>
        <w:footnoteRef/>
      </w:r>
      <w:r w:rsidRPr="00D12803">
        <w:rPr>
          <w:sz w:val="16"/>
          <w:szCs w:val="16"/>
        </w:rPr>
        <w:t xml:space="preserve"> </w:t>
      </w:r>
      <w:r w:rsidRPr="00D12803">
        <w:rPr>
          <w:sz w:val="16"/>
          <w:szCs w:val="16"/>
        </w:rPr>
        <w:t xml:space="preserve">Alle anderen gehörten Laute und Lautverbindungen können durch mehrere verschiedene Buchstabenverbindungen wiedergegeben werden, z. B. /m/ durch m oder mm, /i/ durch i oder </w:t>
      </w:r>
      <w:proofErr w:type="spellStart"/>
      <w:r w:rsidRPr="00D12803">
        <w:rPr>
          <w:sz w:val="16"/>
          <w:szCs w:val="16"/>
        </w:rPr>
        <w:t>ie</w:t>
      </w:r>
      <w:proofErr w:type="spellEnd"/>
      <w:r w:rsidRPr="00D12803">
        <w:rPr>
          <w:sz w:val="16"/>
          <w:szCs w:val="16"/>
        </w:rPr>
        <w:t xml:space="preserve"> oder </w:t>
      </w:r>
      <w:proofErr w:type="spellStart"/>
      <w:r w:rsidRPr="00D12803">
        <w:rPr>
          <w:sz w:val="16"/>
          <w:szCs w:val="16"/>
        </w:rPr>
        <w:t>ieh</w:t>
      </w:r>
      <w:proofErr w:type="spellEnd"/>
      <w:r w:rsidRPr="00D12803">
        <w:rPr>
          <w:sz w:val="16"/>
          <w:szCs w:val="16"/>
        </w:rPr>
        <w:t xml:space="preserve"> oder </w:t>
      </w:r>
      <w:proofErr w:type="spellStart"/>
      <w:r w:rsidRPr="00D12803">
        <w:rPr>
          <w:sz w:val="16"/>
          <w:szCs w:val="16"/>
        </w:rPr>
        <w:t>ih</w:t>
      </w:r>
      <w:proofErr w:type="spellEnd"/>
      <w:r w:rsidRPr="00D12803">
        <w:rPr>
          <w:sz w:val="16"/>
          <w:szCs w:val="16"/>
        </w:rPr>
        <w:t>. Aus diesem Grund kann man sich beim Rechtschreiben nicht nur auf sein Gehör verlassen</w:t>
      </w:r>
      <w:r w:rsidRPr="00D12803">
        <w:rPr>
          <w:sz w:val="16"/>
          <w:szCs w:val="16"/>
        </w:rPr>
        <w:t>.</w:t>
      </w:r>
    </w:p>
  </w:footnote>
  <w:footnote w:id="2">
    <w:p w14:paraId="6460376B" w14:textId="2E169599" w:rsidR="00EB479F" w:rsidRPr="00D12803" w:rsidRDefault="00EB479F" w:rsidP="00EB479F">
      <w:pPr>
        <w:pStyle w:val="Funotentext"/>
        <w:rPr>
          <w:sz w:val="16"/>
          <w:szCs w:val="16"/>
        </w:rPr>
      </w:pPr>
    </w:p>
    <w:p w14:paraId="5A3B008D" w14:textId="77777777" w:rsidR="00EB479F" w:rsidRPr="00D12803" w:rsidRDefault="00EB479F" w:rsidP="00EB479F">
      <w:pPr>
        <w:pStyle w:val="Funotentext"/>
        <w:rPr>
          <w:sz w:val="16"/>
          <w:szCs w:val="16"/>
        </w:rPr>
      </w:pPr>
      <w:r w:rsidRPr="00D12803">
        <w:rPr>
          <w:rStyle w:val="Funotenzeichen"/>
          <w:sz w:val="16"/>
          <w:szCs w:val="16"/>
        </w:rPr>
        <w:footnoteRef/>
      </w:r>
      <w:r w:rsidRPr="00D12803">
        <w:rPr>
          <w:sz w:val="16"/>
          <w:szCs w:val="16"/>
        </w:rPr>
        <w:t xml:space="preserve"> Den Ausdruck „kleine Wörter“ benutze ich als Sammelbezeichnung für Pronomen, Präpositionen, Artikel etc., das bedeutet, das Wort gehört nicht zu den drei wichtigen Wortarten Nomen, Verben und Adjektive.</w:t>
      </w:r>
      <w:r w:rsidRPr="00D12803">
        <w:rPr>
          <w:rStyle w:val="Kommentarzeichen"/>
          <w:sz w:val="12"/>
          <w:szCs w:val="12"/>
        </w:rPr>
        <w:t/>
      </w:r>
    </w:p>
    <w:p w14:paraId="7F056F15" w14:textId="4FF32F7D" w:rsidR="00EE34DD" w:rsidRDefault="00EE34DD">
      <w:pPr>
        <w:pStyle w:val="Funotentext"/>
      </w:pPr>
    </w:p>
  </w:footnote>
  <w:footnote w:id="3">
    <w:p w14:paraId="6C4B4228" w14:textId="54CED388" w:rsidR="00D12803" w:rsidRDefault="00D1280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 xml:space="preserve">Es hilft, einen Blick in einen Duden zu werfen. Da sieht man, dass Wörter mit der Vorsilbe </w:t>
      </w:r>
      <w:proofErr w:type="spellStart"/>
      <w:r>
        <w:t>ent</w:t>
      </w:r>
      <w:proofErr w:type="spellEnd"/>
      <w:r>
        <w:t xml:space="preserve">- und </w:t>
      </w:r>
      <w:proofErr w:type="spellStart"/>
      <w:r>
        <w:t>Ent</w:t>
      </w:r>
      <w:proofErr w:type="spellEnd"/>
      <w:r>
        <w:t>- mehrere Seiten füllen. Zusammengesetzte Wörter mit dem Wortbaustein end- und End- passen dagegen auf eine halbe Seite.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D21F5"/>
    <w:multiLevelType w:val="hybridMultilevel"/>
    <w:tmpl w:val="E12A89D2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3A5F"/>
    <w:multiLevelType w:val="hybridMultilevel"/>
    <w:tmpl w:val="09B47B62"/>
    <w:lvl w:ilvl="0" w:tplc="95F0B0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D3"/>
    <w:rsid w:val="0000190B"/>
    <w:rsid w:val="000627CF"/>
    <w:rsid w:val="004531FC"/>
    <w:rsid w:val="004A7C71"/>
    <w:rsid w:val="005C202B"/>
    <w:rsid w:val="00635FEC"/>
    <w:rsid w:val="00651A9B"/>
    <w:rsid w:val="007415BF"/>
    <w:rsid w:val="0081208F"/>
    <w:rsid w:val="00873DD4"/>
    <w:rsid w:val="008E3645"/>
    <w:rsid w:val="00B95ED9"/>
    <w:rsid w:val="00BC5816"/>
    <w:rsid w:val="00D053C8"/>
    <w:rsid w:val="00D12803"/>
    <w:rsid w:val="00EB479F"/>
    <w:rsid w:val="00EE34DD"/>
    <w:rsid w:val="00F301FD"/>
    <w:rsid w:val="00F77B1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7D2FA"/>
  <w15:chartTrackingRefBased/>
  <w15:docId w15:val="{451FB6C5-007B-464B-A410-BEEA146D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2ED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2ED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2E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2E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2ED3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ED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2E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2ED3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F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2ED3"/>
  </w:style>
  <w:style w:type="paragraph" w:styleId="Fuzeile">
    <w:name w:val="footer"/>
    <w:basedOn w:val="Standard"/>
    <w:link w:val="FuzeileZchn"/>
    <w:uiPriority w:val="99"/>
    <w:unhideWhenUsed/>
    <w:rsid w:val="00FF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2ED3"/>
  </w:style>
  <w:style w:type="character" w:styleId="Hyperlink">
    <w:name w:val="Hyperlink"/>
    <w:basedOn w:val="Absatz-Standardschriftart"/>
    <w:uiPriority w:val="99"/>
    <w:unhideWhenUsed/>
    <w:rsid w:val="00FF2E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ED3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34D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34D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3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lla-klos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7F7B-F7FA-4584-A423-A613DBE5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Kloss</dc:creator>
  <cp:keywords/>
  <dc:description/>
  <cp:lastModifiedBy>Ulla Kloss</cp:lastModifiedBy>
  <cp:revision>2</cp:revision>
  <dcterms:created xsi:type="dcterms:W3CDTF">2020-04-01T22:58:00Z</dcterms:created>
  <dcterms:modified xsi:type="dcterms:W3CDTF">2020-04-01T22:58:00Z</dcterms:modified>
</cp:coreProperties>
</file>